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55187D" w:rsidRPr="0055187D">
        <w:rPr>
          <w:b/>
          <w:lang w:val="en-US"/>
        </w:rPr>
        <w:t xml:space="preserve">Can I Get </w:t>
      </w:r>
      <w:proofErr w:type="gramStart"/>
      <w:r w:rsidR="0055187D" w:rsidRPr="0055187D">
        <w:rPr>
          <w:b/>
          <w:lang w:val="en-US"/>
        </w:rPr>
        <w:t>An</w:t>
      </w:r>
      <w:proofErr w:type="gramEnd"/>
      <w:r w:rsidR="0055187D" w:rsidRPr="0055187D">
        <w:rPr>
          <w:b/>
          <w:lang w:val="en-US"/>
        </w:rPr>
        <w:t xml:space="preserve"> Amen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D1" w:rsidRDefault="001349D1" w:rsidP="00301673">
      <w:r>
        <w:separator/>
      </w:r>
    </w:p>
  </w:endnote>
  <w:endnote w:type="continuationSeparator" w:id="0">
    <w:p w:rsidR="001349D1" w:rsidRDefault="001349D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5A59F9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D1" w:rsidRDefault="001349D1" w:rsidP="00301673">
      <w:r>
        <w:separator/>
      </w:r>
    </w:p>
  </w:footnote>
  <w:footnote w:type="continuationSeparator" w:id="0">
    <w:p w:rsidR="001349D1" w:rsidRDefault="001349D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15F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49D1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A498E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87D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59F9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3C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6DDD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248E-3A54-407B-8C09-94AF7041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2017-09-07T08:11:00Z</dcterms:created>
  <dcterms:modified xsi:type="dcterms:W3CDTF">2017-09-07T08:11:00Z</dcterms:modified>
</cp:coreProperties>
</file>