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823F1" w:rsidRPr="00E823F1">
        <w:rPr>
          <w:rFonts w:cs="Arial"/>
          <w:b/>
          <w:color w:val="000000"/>
          <w:szCs w:val="24"/>
          <w:lang w:eastAsia="en-ZA"/>
        </w:rPr>
        <w:t>The T Word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E823F1">
        <w:rPr>
          <w:rStyle w:val="Strong"/>
        </w:rPr>
        <w:t>Transgender</w:t>
      </w:r>
      <w:r w:rsidR="0052421B">
        <w:rPr>
          <w:rStyle w:val="Strong"/>
        </w:rPr>
        <w:t xml:space="preserve">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6B446F">
        <w:rPr>
          <w:b/>
          <w:lang w:val="en-US"/>
        </w:rPr>
        <w:t>16</w:t>
      </w:r>
      <w:bookmarkStart w:id="0" w:name="_GoBack"/>
      <w:bookmarkEnd w:id="0"/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E823F1">
        <w:rPr>
          <w:b/>
          <w:lang w:val="en-US"/>
        </w:rPr>
        <w:t>50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33A02" w:rsidRDefault="00E823F1" w:rsidP="00683A87">
      <w:pPr>
        <w:rPr>
          <w:rStyle w:val="Emphasis"/>
          <w:rFonts w:cs="Arial"/>
          <w:b w:val="0"/>
          <w:sz w:val="18"/>
          <w:szCs w:val="18"/>
        </w:rPr>
      </w:pPr>
      <w:r w:rsidRPr="00E823F1">
        <w:rPr>
          <w:rStyle w:val="Emphasis"/>
          <w:rFonts w:cs="Arial"/>
          <w:b w:val="0"/>
          <w:sz w:val="18"/>
          <w:szCs w:val="18"/>
        </w:rPr>
        <w:t>Hosted by Laverne Cox (star of the Netflix show 'Orange is the New Black') this one-hour documentary will take viewers inside the lives of seven trans youths who, until recently, may not have even felt safe sharing their lives with others.</w:t>
      </w:r>
    </w:p>
    <w:p w:rsidR="00E823F1" w:rsidRPr="00CC1E73" w:rsidRDefault="00E823F1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C4" w:rsidRDefault="00886DC4" w:rsidP="00301673">
      <w:r>
        <w:separator/>
      </w:r>
    </w:p>
  </w:endnote>
  <w:endnote w:type="continuationSeparator" w:id="0">
    <w:p w:rsidR="00886DC4" w:rsidRDefault="00886DC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81BAD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C4" w:rsidRDefault="00886DC4" w:rsidP="00301673">
      <w:r>
        <w:separator/>
      </w:r>
    </w:p>
  </w:footnote>
  <w:footnote w:type="continuationSeparator" w:id="0">
    <w:p w:rsidR="00886DC4" w:rsidRDefault="00886DC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6BAB"/>
    <w:rsid w:val="00782299"/>
    <w:rsid w:val="00783107"/>
    <w:rsid w:val="00783E75"/>
    <w:rsid w:val="00784689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86DC4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2017-10-26T12:41:00Z</dcterms:created>
  <dcterms:modified xsi:type="dcterms:W3CDTF">2017-10-26T12:41:00Z</dcterms:modified>
</cp:coreProperties>
</file>