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641D6">
        <w:rPr>
          <w:b/>
          <w:lang w:val="en-US"/>
        </w:rPr>
        <w:t>Whispering moon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F43E12">
        <w:rPr>
          <w:b/>
          <w:lang w:val="en-US"/>
        </w:rPr>
        <w:t>16S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3641D6" w:rsidRPr="003641D6">
        <w:rPr>
          <w:b/>
          <w:lang w:val="en-US"/>
        </w:rPr>
        <w:t xml:space="preserve">Michael Satzinger </w:t>
      </w:r>
      <w:r w:rsidR="003641D6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3641D6" w:rsidRPr="003641D6">
        <w:rPr>
          <w:b/>
          <w:lang w:val="en-US"/>
        </w:rPr>
        <w:t>Franz Robert Ceeh</w:t>
      </w:r>
      <w:r w:rsidR="001775B6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3641D6">
        <w:rPr>
          <w:b/>
          <w:lang w:val="en-US"/>
        </w:rPr>
        <w:t>95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1775B6">
        <w:rPr>
          <w:b/>
          <w:lang w:val="en-US"/>
        </w:rPr>
        <w:t>200</w:t>
      </w:r>
      <w:r w:rsidR="003641D6">
        <w:rPr>
          <w:b/>
          <w:lang w:val="en-US"/>
        </w:rPr>
        <w:t>6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775B6" w:rsidRPr="00F43E12" w:rsidRDefault="003641D6" w:rsidP="003641D6">
      <w:pPr>
        <w:rPr>
          <w:sz w:val="18"/>
          <w:szCs w:val="18"/>
          <w:lang w:val="en-US"/>
        </w:rPr>
      </w:pPr>
      <w:r w:rsidRPr="003641D6">
        <w:rPr>
          <w:sz w:val="18"/>
          <w:szCs w:val="18"/>
          <w:lang w:val="en-US"/>
        </w:rPr>
        <w:t>In a dystopia future world we follow a gay couple, Jannis and Patrick, who is filming a secret documentary in a circus.</w:t>
      </w:r>
      <w:r w:rsidR="00F43E12">
        <w:rPr>
          <w:sz w:val="18"/>
          <w:szCs w:val="18"/>
          <w:lang w:val="en-US"/>
        </w:rPr>
        <w:t xml:space="preserve"> </w:t>
      </w:r>
      <w:r w:rsidR="00F43E12" w:rsidRPr="00F43E12">
        <w:rPr>
          <w:sz w:val="18"/>
          <w:szCs w:val="18"/>
        </w:rPr>
        <w:t>A young man and his gay lover expose a political conspiracy after infiltrating a circus.</w:t>
      </w:r>
      <w:r w:rsidR="00F43E12" w:rsidRPr="00F43E12">
        <w:rPr>
          <w:rStyle w:val="Header"/>
        </w:rPr>
        <w:t xml:space="preserve"> </w:t>
      </w:r>
      <w:r w:rsidR="00F43E12" w:rsidRPr="00F43E12">
        <w:rPr>
          <w:rStyle w:val="summary-main"/>
          <w:sz w:val="18"/>
          <w:szCs w:val="18"/>
        </w:rPr>
        <w:t xml:space="preserve">Jannis, a cute, young gay man, and his adorable mute boyfriend, Patrick, infiltrate a circus to shoot an undercover documentary exposing an underground political conspiracy responsible for a recent spate of </w:t>
      </w:r>
      <w:r w:rsidR="00F43E12" w:rsidRPr="00F43E12">
        <w:rPr>
          <w:rStyle w:val="summary-main"/>
          <w:sz w:val="18"/>
          <w:szCs w:val="18"/>
        </w:rPr>
        <w:t>assassination</w:t>
      </w:r>
      <w:r w:rsidR="00F43E12" w:rsidRPr="00F43E12">
        <w:rPr>
          <w:rStyle w:val="summary-main"/>
          <w:sz w:val="18"/>
          <w:szCs w:val="18"/>
        </w:rPr>
        <w:t xml:space="preserve"> attempts. When Patrick meet Mo, a young woman whose sensitivity to sunlight forces her to live by nigh, Jannis' </w:t>
      </w:r>
      <w:r w:rsidR="00F43E12" w:rsidRPr="00F43E12">
        <w:rPr>
          <w:rStyle w:val="summary-main"/>
          <w:sz w:val="18"/>
          <w:szCs w:val="18"/>
        </w:rPr>
        <w:t>jealousy</w:t>
      </w:r>
      <w:r w:rsidR="00F43E12" w:rsidRPr="00F43E12">
        <w:rPr>
          <w:rStyle w:val="summary-main"/>
          <w:sz w:val="18"/>
          <w:szCs w:val="18"/>
        </w:rPr>
        <w:t xml:space="preserve"> threatens the entire project. Only Patrick's unwavering devotion to the man he loves will help save the day and reveal the truth of who is behind the conspiracy.</w:t>
      </w:r>
    </w:p>
    <w:p w:rsidR="001775B6" w:rsidRPr="00F43E12" w:rsidRDefault="001775B6" w:rsidP="00683A87">
      <w:pPr>
        <w:rPr>
          <w:b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F43E1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Not English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F43E1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72" w:rsidRDefault="00651772" w:rsidP="00301673">
      <w:r>
        <w:separator/>
      </w:r>
    </w:p>
  </w:endnote>
  <w:endnote w:type="continuationSeparator" w:id="0">
    <w:p w:rsidR="00651772" w:rsidRDefault="0065177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43E1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72" w:rsidRDefault="00651772" w:rsidP="00301673">
      <w:r>
        <w:separator/>
      </w:r>
    </w:p>
  </w:footnote>
  <w:footnote w:type="continuationSeparator" w:id="0">
    <w:p w:rsidR="00651772" w:rsidRDefault="0065177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41D6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5177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43E12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  <w:style w:type="character" w:customStyle="1" w:styleId="summary-main">
    <w:name w:val="summary-main"/>
    <w:basedOn w:val="DefaultParagraphFont"/>
    <w:rsid w:val="00F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2017-05-03T13:44:00Z</dcterms:created>
  <dcterms:modified xsi:type="dcterms:W3CDTF">2017-05-03T13:44:00Z</dcterms:modified>
</cp:coreProperties>
</file>