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A31FF" w:rsidRPr="002A31FF">
        <w:rPr>
          <w:b/>
          <w:lang w:val="en-US"/>
        </w:rPr>
        <w:t>Eat With Me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02EAD">
        <w:rPr>
          <w:b/>
          <w:lang w:val="en-US"/>
        </w:rPr>
        <w:t xml:space="preserve">Gay, </w:t>
      </w:r>
      <w:r w:rsidR="00A84DEE">
        <w:rPr>
          <w:b/>
          <w:lang w:val="en-US"/>
        </w:rPr>
        <w:t>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bookmarkStart w:id="0" w:name="_GoBack"/>
      <w:r w:rsidR="00ED3035">
        <w:rPr>
          <w:b/>
          <w:lang w:val="en-US"/>
        </w:rPr>
        <w:t>16SLD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4C00AC">
        <w:rPr>
          <w:b/>
          <w:lang w:val="en-US"/>
        </w:rPr>
        <w:t>13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84DEE" w:rsidRPr="00A84DEE">
        <w:rPr>
          <w:b/>
          <w:lang w:val="en-US"/>
        </w:rPr>
        <w:t>David Au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84DEE" w:rsidRPr="00A84DEE">
        <w:rPr>
          <w:b/>
          <w:lang w:val="en-US"/>
        </w:rPr>
        <w:t>George Takei,</w:t>
      </w:r>
      <w:r w:rsidR="00DF191F">
        <w:rPr>
          <w:b/>
          <w:lang w:val="en-US"/>
        </w:rPr>
        <w:t xml:space="preserve"> </w:t>
      </w:r>
      <w:r w:rsidR="00A84DEE" w:rsidRPr="00A84DEE">
        <w:rPr>
          <w:b/>
          <w:lang w:val="en-US"/>
        </w:rPr>
        <w:t>Nicole Sullivan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A84DEE">
        <w:rPr>
          <w:b/>
          <w:lang w:val="en-US"/>
        </w:rPr>
        <w:tab/>
        <w:t>95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A84DEE">
        <w:rPr>
          <w:b/>
          <w:lang w:val="en-US"/>
        </w:rPr>
        <w:t>2014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041284" w:rsidRDefault="00A84DEE" w:rsidP="00683A87">
      <w:pPr>
        <w:rPr>
          <w:rFonts w:cs="Arial"/>
          <w:sz w:val="20"/>
          <w:lang w:val="en-US"/>
        </w:rPr>
      </w:pPr>
      <w:r w:rsidRPr="00A84DEE">
        <w:rPr>
          <w:rFonts w:cs="Arial"/>
          <w:sz w:val="20"/>
          <w:lang w:val="en-US"/>
        </w:rPr>
        <w:t xml:space="preserve">Tired of being invisible in a bland marriage, Emma moves in with her son in his loft in downtown LA. </w:t>
      </w:r>
    </w:p>
    <w:p w:rsidR="00041284" w:rsidRDefault="00041284" w:rsidP="00683A87">
      <w:pPr>
        <w:rPr>
          <w:rFonts w:cs="Arial"/>
          <w:sz w:val="20"/>
          <w:lang w:val="en-US"/>
        </w:rPr>
      </w:pPr>
    </w:p>
    <w:p w:rsidR="00A84DEE" w:rsidRDefault="00A84DEE" w:rsidP="00683A87">
      <w:pPr>
        <w:rPr>
          <w:rFonts w:cs="Arial"/>
          <w:sz w:val="20"/>
          <w:lang w:val="en-US"/>
        </w:rPr>
      </w:pPr>
      <w:r w:rsidRPr="00A84DEE">
        <w:rPr>
          <w:rFonts w:cs="Arial"/>
          <w:sz w:val="20"/>
          <w:lang w:val="en-US"/>
        </w:rPr>
        <w:t>Elliot is a chef at a lackluster Chinese restaurant facin</w:t>
      </w:r>
      <w:r w:rsidR="00041284">
        <w:rPr>
          <w:rFonts w:cs="Arial"/>
          <w:sz w:val="20"/>
          <w:lang w:val="en-US"/>
        </w:rPr>
        <w:t xml:space="preserve">g foreclosure. Also, he's gay </w:t>
      </w:r>
      <w:r w:rsidRPr="00A84DEE">
        <w:rPr>
          <w:rFonts w:cs="Arial"/>
          <w:sz w:val="20"/>
          <w:lang w:val="en-US"/>
        </w:rPr>
        <w:t xml:space="preserve">and Emma's distaste and denial of this has made strangers of mother and son. But the two need each other now more than </w:t>
      </w:r>
      <w:proofErr w:type="gramStart"/>
      <w:r w:rsidRPr="00A84DEE">
        <w:rPr>
          <w:rFonts w:cs="Arial"/>
          <w:sz w:val="20"/>
          <w:lang w:val="en-US"/>
        </w:rPr>
        <w:t>ever,</w:t>
      </w:r>
      <w:proofErr w:type="gramEnd"/>
      <w:r w:rsidRPr="00A84DEE">
        <w:rPr>
          <w:rFonts w:cs="Arial"/>
          <w:sz w:val="20"/>
          <w:lang w:val="en-US"/>
        </w:rPr>
        <w:t xml:space="preserve"> and as Emma indulges herself with the encouragement of a saucy new friend, and Elliot confronts his fears of intimacy, the pair find ways to communicate, with food where words fail.</w:t>
      </w:r>
    </w:p>
    <w:p w:rsidR="00A84DEE" w:rsidRPr="00CC1E73" w:rsidRDefault="00A84DEE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F02FAF" w:rsidP="000C571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Kissing, Implied Sex</w:t>
            </w:r>
          </w:p>
        </w:tc>
      </w:tr>
      <w:tr w:rsidR="004F5799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9" w:rsidRPr="00B00B30" w:rsidRDefault="004F5799" w:rsidP="005D42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334" w:rsidRPr="00B00B30" w:rsidRDefault="00CD3616" w:rsidP="005D427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infrequent</w:t>
            </w:r>
          </w:p>
        </w:tc>
      </w:tr>
      <w:tr w:rsidR="00C847AC" w:rsidRPr="00B00B30" w:rsidTr="006466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AC" w:rsidRPr="00B00B30" w:rsidRDefault="00C847AC" w:rsidP="0064664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7AC" w:rsidRPr="00B00B30" w:rsidRDefault="005F17D1" w:rsidP="00C847A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Smoking Cigarettes</w:t>
            </w:r>
            <w:r w:rsidR="00AC7058">
              <w:rPr>
                <w:rFonts w:cs="Arial"/>
                <w:color w:val="000000"/>
                <w:sz w:val="18"/>
                <w:szCs w:val="18"/>
                <w:lang w:eastAsia="en-ZA"/>
              </w:rPr>
              <w:t>, taking pills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D3616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D3616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D303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E2" w:rsidRDefault="008053E2" w:rsidP="00301673">
      <w:r>
        <w:separator/>
      </w:r>
    </w:p>
  </w:endnote>
  <w:endnote w:type="continuationSeparator" w:id="0">
    <w:p w:rsidR="008053E2" w:rsidRDefault="008053E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D303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E2" w:rsidRDefault="008053E2" w:rsidP="00301673">
      <w:r>
        <w:separator/>
      </w:r>
    </w:p>
  </w:footnote>
  <w:footnote w:type="continuationSeparator" w:id="0">
    <w:p w:rsidR="008053E2" w:rsidRDefault="008053E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57A5D"/>
    <w:rsid w:val="00075022"/>
    <w:rsid w:val="000816D3"/>
    <w:rsid w:val="000817AA"/>
    <w:rsid w:val="00091F62"/>
    <w:rsid w:val="0009501F"/>
    <w:rsid w:val="000C0483"/>
    <w:rsid w:val="000C571E"/>
    <w:rsid w:val="000E4037"/>
    <w:rsid w:val="00115719"/>
    <w:rsid w:val="00115EFE"/>
    <w:rsid w:val="001343F2"/>
    <w:rsid w:val="0013519F"/>
    <w:rsid w:val="00173D7A"/>
    <w:rsid w:val="00190C6D"/>
    <w:rsid w:val="00196797"/>
    <w:rsid w:val="001B52CB"/>
    <w:rsid w:val="001C5016"/>
    <w:rsid w:val="001D2DB6"/>
    <w:rsid w:val="001E7A0B"/>
    <w:rsid w:val="00207A00"/>
    <w:rsid w:val="0025137B"/>
    <w:rsid w:val="00287FF9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74E0"/>
    <w:rsid w:val="003301D4"/>
    <w:rsid w:val="00341370"/>
    <w:rsid w:val="00345EC6"/>
    <w:rsid w:val="00383334"/>
    <w:rsid w:val="00390644"/>
    <w:rsid w:val="003C08EB"/>
    <w:rsid w:val="00442960"/>
    <w:rsid w:val="0045591A"/>
    <w:rsid w:val="00465D8C"/>
    <w:rsid w:val="00465E8E"/>
    <w:rsid w:val="00484B25"/>
    <w:rsid w:val="00492AB1"/>
    <w:rsid w:val="004A6B0A"/>
    <w:rsid w:val="004B2D3C"/>
    <w:rsid w:val="004B36DD"/>
    <w:rsid w:val="004C00AC"/>
    <w:rsid w:val="004C1ED8"/>
    <w:rsid w:val="004C7B98"/>
    <w:rsid w:val="004D2A8B"/>
    <w:rsid w:val="004D7212"/>
    <w:rsid w:val="004F09CB"/>
    <w:rsid w:val="004F5799"/>
    <w:rsid w:val="00507ED1"/>
    <w:rsid w:val="0053648A"/>
    <w:rsid w:val="005429C7"/>
    <w:rsid w:val="0055522D"/>
    <w:rsid w:val="005823EA"/>
    <w:rsid w:val="00582A39"/>
    <w:rsid w:val="005830E2"/>
    <w:rsid w:val="00585A83"/>
    <w:rsid w:val="005A1369"/>
    <w:rsid w:val="005A4C5A"/>
    <w:rsid w:val="005B5987"/>
    <w:rsid w:val="005F17D1"/>
    <w:rsid w:val="005F414E"/>
    <w:rsid w:val="00600108"/>
    <w:rsid w:val="00602BB0"/>
    <w:rsid w:val="0061174F"/>
    <w:rsid w:val="00635E3A"/>
    <w:rsid w:val="00652A61"/>
    <w:rsid w:val="00653CFD"/>
    <w:rsid w:val="00663316"/>
    <w:rsid w:val="00665F2D"/>
    <w:rsid w:val="00683A87"/>
    <w:rsid w:val="00697C81"/>
    <w:rsid w:val="007112A8"/>
    <w:rsid w:val="007378DB"/>
    <w:rsid w:val="00750813"/>
    <w:rsid w:val="00766C05"/>
    <w:rsid w:val="00771582"/>
    <w:rsid w:val="00782299"/>
    <w:rsid w:val="007D37EE"/>
    <w:rsid w:val="007E2E85"/>
    <w:rsid w:val="007E5928"/>
    <w:rsid w:val="008053E2"/>
    <w:rsid w:val="00817FF4"/>
    <w:rsid w:val="00834067"/>
    <w:rsid w:val="00845225"/>
    <w:rsid w:val="0085459D"/>
    <w:rsid w:val="0086230F"/>
    <w:rsid w:val="00896822"/>
    <w:rsid w:val="008A6A35"/>
    <w:rsid w:val="008E4960"/>
    <w:rsid w:val="0090249B"/>
    <w:rsid w:val="00902EAD"/>
    <w:rsid w:val="00910148"/>
    <w:rsid w:val="00920ACD"/>
    <w:rsid w:val="0095292F"/>
    <w:rsid w:val="00965DBE"/>
    <w:rsid w:val="00980C39"/>
    <w:rsid w:val="009A0F24"/>
    <w:rsid w:val="009A1D83"/>
    <w:rsid w:val="009A4B33"/>
    <w:rsid w:val="009B04C8"/>
    <w:rsid w:val="009B3651"/>
    <w:rsid w:val="009E311C"/>
    <w:rsid w:val="009F098B"/>
    <w:rsid w:val="00A00D78"/>
    <w:rsid w:val="00A265E4"/>
    <w:rsid w:val="00A453B3"/>
    <w:rsid w:val="00A47DE4"/>
    <w:rsid w:val="00A50048"/>
    <w:rsid w:val="00A63EE3"/>
    <w:rsid w:val="00A7546E"/>
    <w:rsid w:val="00A84956"/>
    <w:rsid w:val="00A84DEE"/>
    <w:rsid w:val="00A92CA2"/>
    <w:rsid w:val="00AB49EB"/>
    <w:rsid w:val="00AC7058"/>
    <w:rsid w:val="00AD2B75"/>
    <w:rsid w:val="00AE2E10"/>
    <w:rsid w:val="00B00B30"/>
    <w:rsid w:val="00B40337"/>
    <w:rsid w:val="00B472BB"/>
    <w:rsid w:val="00B5062B"/>
    <w:rsid w:val="00B6548C"/>
    <w:rsid w:val="00B70A19"/>
    <w:rsid w:val="00BA3306"/>
    <w:rsid w:val="00BB004D"/>
    <w:rsid w:val="00BB6C66"/>
    <w:rsid w:val="00BC0549"/>
    <w:rsid w:val="00C03A2E"/>
    <w:rsid w:val="00C07D90"/>
    <w:rsid w:val="00C524CA"/>
    <w:rsid w:val="00C75B15"/>
    <w:rsid w:val="00C835AE"/>
    <w:rsid w:val="00C847AC"/>
    <w:rsid w:val="00C91D12"/>
    <w:rsid w:val="00C94968"/>
    <w:rsid w:val="00CB5C06"/>
    <w:rsid w:val="00CC1E73"/>
    <w:rsid w:val="00CD3616"/>
    <w:rsid w:val="00CD5E58"/>
    <w:rsid w:val="00CF7F94"/>
    <w:rsid w:val="00D0692E"/>
    <w:rsid w:val="00D13B04"/>
    <w:rsid w:val="00D6185B"/>
    <w:rsid w:val="00D65691"/>
    <w:rsid w:val="00D71084"/>
    <w:rsid w:val="00D75A72"/>
    <w:rsid w:val="00D770A0"/>
    <w:rsid w:val="00D77408"/>
    <w:rsid w:val="00D80034"/>
    <w:rsid w:val="00DA5DCB"/>
    <w:rsid w:val="00DD297D"/>
    <w:rsid w:val="00DD609C"/>
    <w:rsid w:val="00DE66A7"/>
    <w:rsid w:val="00DF191F"/>
    <w:rsid w:val="00E02308"/>
    <w:rsid w:val="00E11E2E"/>
    <w:rsid w:val="00E159DE"/>
    <w:rsid w:val="00E22697"/>
    <w:rsid w:val="00E25613"/>
    <w:rsid w:val="00E62C0C"/>
    <w:rsid w:val="00E96AC1"/>
    <w:rsid w:val="00EB52C3"/>
    <w:rsid w:val="00EC1AFD"/>
    <w:rsid w:val="00ED3035"/>
    <w:rsid w:val="00EF1125"/>
    <w:rsid w:val="00F02FAF"/>
    <w:rsid w:val="00F15280"/>
    <w:rsid w:val="00F2226C"/>
    <w:rsid w:val="00F305A0"/>
    <w:rsid w:val="00F41628"/>
    <w:rsid w:val="00F41775"/>
    <w:rsid w:val="00F54EA0"/>
    <w:rsid w:val="00F90C6B"/>
    <w:rsid w:val="00F91ED8"/>
    <w:rsid w:val="00F94AF8"/>
    <w:rsid w:val="00FB2F7B"/>
    <w:rsid w:val="00FD5F39"/>
    <w:rsid w:val="00FD5F7E"/>
    <w:rsid w:val="00FE3D85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14</cp:revision>
  <cp:lastPrinted>2016-01-14T08:25:00Z</cp:lastPrinted>
  <dcterms:created xsi:type="dcterms:W3CDTF">2017-05-04T10:42:00Z</dcterms:created>
  <dcterms:modified xsi:type="dcterms:W3CDTF">2017-05-04T13:00:00Z</dcterms:modified>
</cp:coreProperties>
</file>