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B344A6">
      <w:pPr>
        <w:rPr>
          <w:b/>
          <w:lang w:val="en-US"/>
        </w:rPr>
      </w:pPr>
      <w:r w:rsidRPr="00683A87">
        <w:rPr>
          <w:b/>
          <w:lang w:val="en-US"/>
        </w:rPr>
        <w:t xml:space="preserve">TITLE: </w:t>
      </w:r>
      <w:r w:rsidR="00771582">
        <w:rPr>
          <w:b/>
          <w:lang w:val="en-US"/>
        </w:rPr>
        <w:tab/>
      </w:r>
      <w:r w:rsidR="000C0048">
        <w:rPr>
          <w:b/>
          <w:lang w:val="en-US"/>
        </w:rPr>
        <w:t>Happy End</w:t>
      </w:r>
      <w:r w:rsidR="00BB671B">
        <w:rPr>
          <w:b/>
          <w:lang w:val="en-US"/>
        </w:rPr>
        <w:t xml:space="preserve">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0E5D38">
        <w:rPr>
          <w:b/>
          <w:lang w:val="en-US"/>
        </w:rPr>
        <w:t>Lesbian, Romantic, Drama</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0E5D38">
        <w:rPr>
          <w:b/>
          <w:lang w:val="en-US"/>
        </w:rPr>
        <w:tab/>
        <w:t>16SL</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r w:rsidR="000E5D38">
        <w:rPr>
          <w:b/>
          <w:lang w:val="en-US"/>
        </w:rPr>
        <w:t>NONE</w:t>
      </w:r>
      <w:bookmarkStart w:id="0" w:name="_GoBack"/>
      <w:bookmarkEnd w:id="0"/>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0C0048"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0C0048" w:rsidRPr="000C0048">
        <w:rPr>
          <w:b/>
          <w:lang w:val="en-US"/>
        </w:rPr>
        <w:t>Petra Clever</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0C0048" w:rsidRPr="000C0048">
        <w:rPr>
          <w:b/>
          <w:lang w:val="en-US"/>
        </w:rPr>
        <w:t>Sinha Gierke</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BB671B">
        <w:rPr>
          <w:b/>
          <w:lang w:val="en-US"/>
        </w:rPr>
        <w:t>84</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B344A6">
        <w:rPr>
          <w:b/>
          <w:lang w:val="en-US"/>
        </w:rPr>
        <w:t>201</w:t>
      </w:r>
      <w:r w:rsidR="001118E8">
        <w:rPr>
          <w:b/>
          <w:lang w:val="en-US"/>
        </w:rPr>
        <w:t>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B344A6" w:rsidRDefault="00B344A6" w:rsidP="001775B6">
      <w:pPr>
        <w:rPr>
          <w:sz w:val="18"/>
          <w:szCs w:val="18"/>
          <w:lang w:val="en-US"/>
        </w:rPr>
      </w:pPr>
    </w:p>
    <w:p w:rsidR="000C0048" w:rsidRDefault="000C0048" w:rsidP="00683A87">
      <w:pPr>
        <w:rPr>
          <w:sz w:val="18"/>
          <w:szCs w:val="18"/>
          <w:lang w:val="en-US"/>
        </w:rPr>
      </w:pPr>
      <w:r w:rsidRPr="000C0048">
        <w:rPr>
          <w:sz w:val="18"/>
          <w:szCs w:val="18"/>
          <w:lang w:val="en-US"/>
        </w:rPr>
        <w:t>This high-energy romantic road movie about an aspiring law student named Lucca, and her new friend Valerie. Irresistible chemistry blossoms between them as the two women embark on a wild adventure to deliver the ashes of recently deceased friend Herma to her final resting place —against the wishes of Herma’s family. Invigorated by Valerie’s free spirit, Lucca rebels from her father’s conservative plans as her dreams for the future evolve. Their lives will never be the same again.</w:t>
      </w:r>
    </w:p>
    <w:p w:rsidR="00BB671B" w:rsidRDefault="00BB671B" w:rsidP="00683A87">
      <w:pPr>
        <w:rPr>
          <w:b/>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0E5D38" w:rsidP="004201D2">
            <w:pPr>
              <w:rPr>
                <w:rFonts w:cs="Arial"/>
                <w:color w:val="000000"/>
                <w:sz w:val="18"/>
                <w:szCs w:val="18"/>
                <w:lang w:eastAsia="en-ZA"/>
              </w:rPr>
            </w:pPr>
            <w:r>
              <w:rPr>
                <w:rFonts w:cs="Arial"/>
                <w:color w:val="000000"/>
                <w:sz w:val="18"/>
                <w:szCs w:val="18"/>
                <w:lang w:eastAsia="en-ZA"/>
              </w:rPr>
              <w:t>Not Rated</w:t>
            </w:r>
            <w:r w:rsidR="004201D2" w:rsidRPr="004201D2">
              <w:rPr>
                <w:rFonts w:cs="Arial"/>
                <w:color w:val="000000"/>
                <w:sz w:val="18"/>
                <w:szCs w:val="18"/>
                <w:lang w:eastAsia="en-ZA"/>
              </w:rPr>
              <w:t xml:space="preserve"> </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0E5D38" w:rsidP="004201D2">
            <w:pPr>
              <w:rPr>
                <w:rFonts w:cs="Arial"/>
                <w:color w:val="000000"/>
                <w:sz w:val="18"/>
                <w:szCs w:val="18"/>
                <w:lang w:eastAsia="en-ZA"/>
              </w:rPr>
            </w:pPr>
            <w:r>
              <w:rPr>
                <w:rFonts w:cs="Arial"/>
                <w:color w:val="000000"/>
                <w:sz w:val="18"/>
                <w:szCs w:val="18"/>
                <w:lang w:eastAsia="en-ZA"/>
              </w:rPr>
              <w:t>Low impact, infrequent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DD6" w:rsidRDefault="00282DD6" w:rsidP="00301673">
      <w:r>
        <w:separator/>
      </w:r>
    </w:p>
  </w:endnote>
  <w:endnote w:type="continuationSeparator" w:id="0">
    <w:p w:rsidR="00282DD6" w:rsidRDefault="00282DD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0E5D38">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DD6" w:rsidRDefault="00282DD6" w:rsidP="00301673">
      <w:r>
        <w:separator/>
      </w:r>
    </w:p>
  </w:footnote>
  <w:footnote w:type="continuationSeparator" w:id="0">
    <w:p w:rsidR="00282DD6" w:rsidRDefault="00282DD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B5A9F"/>
    <w:rsid w:val="000C0048"/>
    <w:rsid w:val="000C0483"/>
    <w:rsid w:val="000E3E3B"/>
    <w:rsid w:val="000E5D38"/>
    <w:rsid w:val="000F33C6"/>
    <w:rsid w:val="001118E8"/>
    <w:rsid w:val="00115EFE"/>
    <w:rsid w:val="0013519F"/>
    <w:rsid w:val="001775B6"/>
    <w:rsid w:val="00190C6D"/>
    <w:rsid w:val="00196797"/>
    <w:rsid w:val="001C57DD"/>
    <w:rsid w:val="001D2DB6"/>
    <w:rsid w:val="00207A00"/>
    <w:rsid w:val="00245A50"/>
    <w:rsid w:val="00255CEB"/>
    <w:rsid w:val="0026129C"/>
    <w:rsid w:val="00282DD6"/>
    <w:rsid w:val="00287FF9"/>
    <w:rsid w:val="00292CD7"/>
    <w:rsid w:val="002A01BA"/>
    <w:rsid w:val="002A31F0"/>
    <w:rsid w:val="002A4A73"/>
    <w:rsid w:val="002A4F3E"/>
    <w:rsid w:val="002B0D24"/>
    <w:rsid w:val="002B107D"/>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01B49"/>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065F4"/>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51171"/>
    <w:rsid w:val="00A84956"/>
    <w:rsid w:val="00A92CA2"/>
    <w:rsid w:val="00AD2B75"/>
    <w:rsid w:val="00AE2E10"/>
    <w:rsid w:val="00AE2FAA"/>
    <w:rsid w:val="00B13B09"/>
    <w:rsid w:val="00B344A6"/>
    <w:rsid w:val="00B35B80"/>
    <w:rsid w:val="00B40337"/>
    <w:rsid w:val="00B5062B"/>
    <w:rsid w:val="00B67378"/>
    <w:rsid w:val="00BA3306"/>
    <w:rsid w:val="00BB671B"/>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A4AC2"/>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154C6"/>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904687350">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 w:id="17276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2017-05-11T10:31:00Z</dcterms:created>
  <dcterms:modified xsi:type="dcterms:W3CDTF">2017-05-11T10:31:00Z</dcterms:modified>
</cp:coreProperties>
</file>